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BCB" w:rsidRPr="00F539DB" w:rsidRDefault="00BA1BCB" w:rsidP="00BA1BCB">
      <w:pPr>
        <w:pStyle w:val="Prrafodelista"/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bookmarkStart w:id="0" w:name="_Toc270435843"/>
      <w:bookmarkStart w:id="1" w:name="_GoBack"/>
      <w:r w:rsidRPr="00F539DB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ANEXO 5 CONSULTA CONOCIMIENTOS DE UN MANIFIESTO</w:t>
      </w:r>
    </w:p>
    <w:bookmarkEnd w:id="0"/>
    <w:bookmarkEnd w:id="1"/>
    <w:p w:rsidR="00C16311" w:rsidRPr="00C16311" w:rsidRDefault="00C16311" w:rsidP="00C16311">
      <w:pPr>
        <w:spacing w:after="0" w:line="240" w:lineRule="auto"/>
        <w:rPr>
          <w:rFonts w:ascii="Montserrat" w:eastAsia="Times New Roman" w:hAnsi="Montserrat"/>
          <w:b/>
          <w:noProof w:val="0"/>
          <w:sz w:val="20"/>
          <w:szCs w:val="20"/>
          <w:u w:val="single"/>
          <w:lang w:val="es-MX" w:eastAsia="es-ES"/>
        </w:rPr>
      </w:pPr>
    </w:p>
    <w:p w:rsidR="001578DA" w:rsidRPr="00DE1779" w:rsidRDefault="001578DA" w:rsidP="001578DA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2" w:name="_Toc90115692"/>
      <w:bookmarkStart w:id="3" w:name="_Toc270435844"/>
      <w:r w:rsidRPr="00DE1779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Mensaje SOAP</w:t>
      </w:r>
      <w:bookmarkEnd w:id="2"/>
      <w:bookmarkEnd w:id="3"/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es el formato del mensaje SOAP para obtener los datos generales de los conocimientos de un manifiesto específico registrado por el 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Validador de manifiestos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HTTP/1.1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"http://Recintos/ServiciosWebXml/consultaConocimDeManif"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1578DA" w:rsidRPr="00C16311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ipCliente</w:t>
      </w:r>
      <w:proofErr w:type="spellEnd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C16311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ipCliente</w:t>
      </w:r>
      <w:proofErr w:type="spellEnd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C16311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C16311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proofErr w:type="gramEnd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C16311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</w:t>
      </w:r>
      <w:proofErr w:type="spellStart"/>
      <w:proofErr w:type="gramStart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consultaConocimDeManif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&lt;manifiesto&gt;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&lt;/manifiesto&gt;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consultaConocimDeManif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90115693"/>
      <w:bookmarkStart w:id="5" w:name="_Toc270435845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4"/>
      <w:bookmarkEnd w:id="5"/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resConocimiento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consultaConocimDeManifResponse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lastRenderedPageBreak/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consultaConocimDeManifResult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&lt;registros&gt;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&lt;/registros&gt;  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&lt;conocimientos&gt;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&lt;/conocimientos&gt;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consultaConocimDeManifResult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consultaConocimDeManifResponse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Donde: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consulta.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descripción del error.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registros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Indica el número de registros resultado de la consulta.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conocimientos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a los conocimientos del manifiesto, con elementos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Conocimiento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Estructura de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Conocimiento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: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C16311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xsi</w:t>
      </w:r>
      <w:proofErr w:type="gramStart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:type</w:t>
      </w:r>
      <w:proofErr w:type="spellEnd"/>
      <w:proofErr w:type="gramEnd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</w:t>
      </w:r>
      <w:proofErr w:type="spellStart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Conocimiento</w:t>
      </w:r>
      <w:proofErr w:type="spellEnd"/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"&gt;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31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C1631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personas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&lt;/personas&gt;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casos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casos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puertos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&lt;/puertos&gt;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Donde: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nTrans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único de manifiesto al que pertenece el conocimiento.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color w:val="000000"/>
          <w:sz w:val="20"/>
          <w:szCs w:val="20"/>
          <w:lang w:val="es-MX"/>
        </w:rPr>
        <w:t>cConocim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Es el número de conocimiento asignado por el 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eastAsia="es-ES"/>
        </w:rPr>
        <w:t>Validador de manifiestos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nConocim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de conocimiento que le asignó el agente naviero.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cuPuertoCD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puerto de carga/descarga.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cuRefis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recinto fiscal.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color w:val="0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 la aduana.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agente.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color w:val="00000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país.</w:t>
      </w:r>
    </w:p>
    <w:p w:rsidR="001578DA" w:rsidRPr="00DE1779" w:rsidRDefault="001578DA" w:rsidP="001578DA">
      <w:pPr>
        <w:spacing w:after="0" w:line="240" w:lineRule="auto"/>
        <w:ind w:firstLine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tipo de conocimiento (</w:t>
      </w:r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M = Master, H =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House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)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Es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el i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dentificación</w:t>
      </w:r>
      <w:proofErr w:type="spellEnd"/>
      <w:proofErr w:type="gramEnd"/>
      <w:r w:rsidRPr="00DE1779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del conocimiento de referencia “Master”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personas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a las personas asociadas al conocimiento.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Son los casos relacionados al conocimiento.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puertos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a los puertos relacionados con el conocimiento.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Los arreglos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personas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,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casos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y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puertos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tienen la siguiente estructura: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El arreglo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personas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contiene a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persona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: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persona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nombre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nombre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idFiscal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idFiscal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&lt;domicilio&gt;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&lt;/domicilio&gt;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cuTipoPersona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cuTipoPersona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&lt;/persona&gt;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nTrans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único de manifiesto al que pertenece el conocimiento.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nombre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Tiene el nombre de la persona.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idFiscal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identificación fiscal de la persona.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domicilio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domicilio de la persona.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cuTipoPersona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tipo de persona.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El arreglo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contiene a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: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caso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idCasoNav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idCasoNav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cuCasoNav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cuCasoNav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&lt;/caso&gt;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idCasoNav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identificador del caso.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cuCasoNav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caso.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El arreglo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puertos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contiene a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puerto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: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&lt;puerto&gt;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cuPuerto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cuPuerto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cuTipoPuerto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cuTipoPuerto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1578DA" w:rsidRPr="00DE1779" w:rsidRDefault="001578DA" w:rsidP="001578D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&lt;/puerto&gt;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cuPuerto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puerto.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cuTipoPuerto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tipo de puerto.</w:t>
      </w:r>
    </w:p>
    <w:p w:rsidR="001578DA" w:rsidRPr="00DE1779" w:rsidRDefault="001578DA" w:rsidP="001578D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país.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Por ejemplo, una respuesta sin errores sería como ésta: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&lt;?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version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="1.0"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encoding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="utf-8"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?&gt;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="http://schemas.xmlsoap.org/soap/envelope/"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="http://www.w3.org/2001/XMLSchema-instance"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="http://www.w3.org/2001/XMLSchema"&gt;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consultaConocimDeManifResponse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="http://Recintos/ServiciosWebXml/"&gt;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consultaConocimDeManifResult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conocimientos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xsi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type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="Conocimiento"&gt;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09239707000302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HLCUHKG0708AXAR7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CWN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2397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CHN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personas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casos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puertos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xsi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type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="Conocimiento"&gt;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09239707000302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jc w:val="center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ab/>
        <w:t xml:space="preserve">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HLCUHKG0708AXKA0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 xml:space="preserve">&gt;  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CWN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2397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CHN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personas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casos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puertos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conocimientos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consultaConocimDeManifResult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consultaConocimDeManifResponse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eastAsia="es-ES"/>
        </w:rPr>
      </w:pPr>
      <w:bookmarkStart w:id="6" w:name="_Toc270435846"/>
      <w:r w:rsidRPr="00DE1779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eastAsia="es-ES"/>
        </w:rPr>
        <w:t>Ejemplo con C#</w:t>
      </w:r>
      <w:bookmarkEnd w:id="6"/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conocimManif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ProxyRecintos.resConocimiento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encabezado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] firma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[64];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Usuario;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firma;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wsConsultas.EncabezadoSOAPValue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encabezado;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ProxyRecintos.resConocimiento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)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wsConsultas.consultaConocimDeManif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numManif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TBNError.Text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res.error.ToString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TBDescError.Text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muestraTablaConocim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(res);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}</w:t>
      </w:r>
    </w:p>
    <w:p w:rsidR="001578DA" w:rsidRPr="00DE1779" w:rsidRDefault="001578DA" w:rsidP="001578DA">
      <w:pPr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muestraTablaConocim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ProxyRecintos.resConocimiento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res)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columnas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columnas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[10];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3]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cuPaisCD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cuPuertoCD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5]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cuRefis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6]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7]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8]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tipoConocim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9]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conocimientoRef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("Error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br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("Conocimientos: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res.conocimientos.Length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res.conocimientos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!=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null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{</w:t>
      </w:r>
    </w:p>
    <w:p w:rsidR="001578DA" w:rsidRPr="00C16311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C16311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C16311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&lt; </w:t>
      </w:r>
      <w:proofErr w:type="spellStart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res.conocimientos.Length;i</w:t>
      </w:r>
      <w:proofErr w:type="spellEnd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1578DA" w:rsidRPr="00C16311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"&lt;table border=\"1\"&gt;");</w:t>
      </w:r>
    </w:p>
    <w:p w:rsidR="001578DA" w:rsidRPr="00C16311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C16311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j = 0; j&lt;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columnas.Length;j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=\"cyan\"&gt;"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columnas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[j]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ProxyRecintos.Conocimiento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ProxyRecintos.Conocimiento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.conocimientos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objConocim.nTrans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objConocim.cConocim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objConocim.nConocim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objConocim.cuPaisCD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objConocim.cuPuertoCD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objConocim.cuRefis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objConocim.cuAduana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objConocim.cuEntidadMan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objConocim.tipoConocim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objConocim.conocimientoRef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"&lt;/table&gt;");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 Muestra las personas del conocimiento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muestraPersonas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//Muestra los casos del conocimiento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muestraCasosConocim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//Muestra los puertos del conocimiento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muestraPuertosConocim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muestraPersonas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ProxyRecintos.Conocimiento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ProxyRecintos.Persona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objPersona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("Personas del conocimiento: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objConocim.personas.Length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if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objConocim.personas.Length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&gt;0)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"&lt;table border=\"1\"&gt;");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nombre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idFiscal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domicilio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cuTipoPersona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objConocim.personas.Length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objPersona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ProxyRecintos.Persona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objConocim.personas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objPersona.nTrans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objPersona.nombre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objPersona.idFiscal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objPersona.domicilio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objPersona.cuTipoPersona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table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muestraCasosConocim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ProxyRecintos.Conocimiento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ProxyRecintos.Caso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objCaso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("Casos del conocimiento: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objConocim.casos.Length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if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objConocim.casos.Length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&gt;0)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"&lt;table border=\"1\"&gt;");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idCasoNav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cuCasoNav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objConocim.casos.Length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objCaso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ProxyRecintos.Caso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objConocim.casos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objCaso.idCasoNav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objCaso.cuCasoNav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"&lt;/table&gt;");</w:t>
      </w:r>
    </w:p>
    <w:p w:rsidR="001578DA" w:rsidRPr="00C16311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C16311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muestraPuertosConocim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ProxyRecintos.Conocimiento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ProxyRecintos.Puerto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objPuerto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objConocim.puertos.Length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&gt;0)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("Puertos del conocimiento: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objConocim.puertos.Length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"&lt;table border=\"1\"&gt;");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cuTipoPuerto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objConocim.puertos.Length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objPuerto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ProxyRecintos.Puerto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objConocim.puertos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objPuerto.cuPais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objPuerto.cuPuerto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objPuerto.cuTipoPuerto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table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1578DA" w:rsidRPr="00DE1779" w:rsidRDefault="001578DA" w:rsidP="001578D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062FB4" w:rsidRPr="001578DA" w:rsidRDefault="00062FB4" w:rsidP="001578DA">
      <w:pPr>
        <w:spacing w:after="0" w:line="240" w:lineRule="auto"/>
        <w:jc w:val="both"/>
        <w:outlineLvl w:val="4"/>
        <w:rPr>
          <w:rFonts w:ascii="Montserrat" w:eastAsia="Times New Roman" w:hAnsi="Montserrat"/>
          <w:bCs/>
          <w:iCs/>
          <w:noProof w:val="0"/>
          <w:sz w:val="20"/>
          <w:szCs w:val="20"/>
          <w:lang w:val="es-MX" w:eastAsia="es-ES"/>
        </w:rPr>
      </w:pPr>
    </w:p>
    <w:sectPr w:rsidR="00062FB4" w:rsidRPr="001578DA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529" w:rsidRDefault="00B04529" w:rsidP="007B5DFC">
      <w:pPr>
        <w:spacing w:after="0" w:line="240" w:lineRule="auto"/>
      </w:pPr>
      <w:r>
        <w:separator/>
      </w:r>
    </w:p>
  </w:endnote>
  <w:endnote w:type="continuationSeparator" w:id="0">
    <w:p w:rsidR="00B04529" w:rsidRDefault="00B04529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529" w:rsidRDefault="00B04529" w:rsidP="007B5DFC">
      <w:pPr>
        <w:spacing w:after="0" w:line="240" w:lineRule="auto"/>
      </w:pPr>
      <w:r>
        <w:separator/>
      </w:r>
    </w:p>
  </w:footnote>
  <w:footnote w:type="continuationSeparator" w:id="0">
    <w:p w:rsidR="00B04529" w:rsidRDefault="00B04529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62FB4"/>
    <w:rsid w:val="00072D97"/>
    <w:rsid w:val="001578DA"/>
    <w:rsid w:val="001B0A53"/>
    <w:rsid w:val="00275475"/>
    <w:rsid w:val="00346D5D"/>
    <w:rsid w:val="00512E81"/>
    <w:rsid w:val="006E34BE"/>
    <w:rsid w:val="00723678"/>
    <w:rsid w:val="00776B0C"/>
    <w:rsid w:val="007B5DFC"/>
    <w:rsid w:val="008C2083"/>
    <w:rsid w:val="008C64D8"/>
    <w:rsid w:val="00977DB1"/>
    <w:rsid w:val="00A50D91"/>
    <w:rsid w:val="00A71FF1"/>
    <w:rsid w:val="00AA62C2"/>
    <w:rsid w:val="00AF6E43"/>
    <w:rsid w:val="00B04529"/>
    <w:rsid w:val="00BA1BCB"/>
    <w:rsid w:val="00C16311"/>
    <w:rsid w:val="00D20094"/>
    <w:rsid w:val="00F5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B6078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BA1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2020-04-16T17:00:00Z</dcterms:created>
  <dcterms:modified xsi:type="dcterms:W3CDTF">2020-04-16T19:10:00Z</dcterms:modified>
</cp:coreProperties>
</file>